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D36277">
      <w:r>
        <w:t>2007</w:t>
      </w:r>
    </w:p>
    <w:p w:rsidR="00D36277" w:rsidRDefault="00D36277"/>
    <w:p w:rsidR="00D36277" w:rsidRDefault="00D36277">
      <w:r>
        <w:t>INNER MONGOLIA CHINA</w:t>
      </w:r>
    </w:p>
    <w:p w:rsidR="00D36277" w:rsidRDefault="00D36277"/>
    <w:p w:rsidR="00D36277" w:rsidRPr="00D36277" w:rsidRDefault="00D36277" w:rsidP="00D36277">
      <w:pPr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pP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D36277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t>International Workshop on Environmental Change and</w:t>
      </w:r>
      <w:r w:rsidRPr="00D36277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br/>
        <w:t>Sustainable Development in Arid and Semi-arid Regions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D36277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t>INNER MONGOLIA, CHINA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>Preconference field trip: 7 - 9 September, 2007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>Conference: 10 - 17 September, 2007</w:t>
      </w:r>
      <w:r w:rsidRPr="00D36277">
        <w:rPr>
          <w:rFonts w:ascii="Times" w:eastAsia="Times New Roman" w:hAnsi="Times" w:cs="Times New Roman"/>
          <w:i/>
          <w:iCs/>
          <w:color w:val="464E54"/>
          <w:sz w:val="20"/>
          <w:szCs w:val="20"/>
          <w:lang w:val="en-AU"/>
        </w:rPr>
        <w:t> 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 xml:space="preserve">Published report: 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"http://www.comland.org/uploads/2/3/9/6/23963363/comland-alashan_2007_episodes_report.pdf" \o "" \t "_blank" </w:instrTex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D36277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 xml:space="preserve">Yang, X. and </w:t>
      </w:r>
      <w:proofErr w:type="spellStart"/>
      <w:r w:rsidRPr="00D36277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Conacher</w:t>
      </w:r>
      <w:proofErr w:type="spellEnd"/>
      <w:r w:rsidRPr="00D36277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 xml:space="preserve">, A. 2007. </w:t>
      </w:r>
      <w:proofErr w:type="gramStart"/>
      <w:r w:rsidRPr="00D36277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Episodes 30 (4), 297-298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"http://www.comland.org/uploads/2/3/9/6/23963363/comland-alashan_2007_episodes_report.pdf" \o "" \t "_blank" </w:instrTex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D36277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.</w:t>
      </w:r>
      <w:proofErr w:type="gramEnd"/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hyperlink r:id="rId6" w:tooltip="" w:history="1">
        <w:r w:rsidRPr="00D3627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n-AU"/>
          </w:rPr>
          <w:t>Pre conference field trip report</w:t>
        </w:r>
      </w:hyperlink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"http://www.comland.org/uploads/2/3/9/6/23963363/comland-07-alashan.pdf" \o "" \t "_blank" </w:instrTex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D36277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Post workshop report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D36277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t>Note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: Early bird registration ends April 1; Deadline for abstract submission is July 1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D36277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t>Workshop Themes</w:t>
      </w:r>
    </w:p>
    <w:p w:rsidR="00D36277" w:rsidRPr="00D36277" w:rsidRDefault="00D36277" w:rsidP="00D362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pP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Case studies and theories relating to land degradation and sustainable development in arid and semi-arid as well as sub-humid regions of various continents</w:t>
      </w:r>
    </w:p>
    <w:p w:rsidR="00D36277" w:rsidRPr="00D36277" w:rsidRDefault="00D36277" w:rsidP="00D362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pP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Comparisons of regional-scale reconstruction of Late Quaternary changes in the deserts of various climate zones (monsoon regions, subtropics and westerlies)</w:t>
      </w:r>
    </w:p>
    <w:p w:rsidR="00D36277" w:rsidRPr="00D36277" w:rsidRDefault="00D36277" w:rsidP="00D362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pP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Natural and human impacts on the landscape in various climate zones</w:t>
      </w:r>
    </w:p>
    <w:p w:rsidR="00D36277" w:rsidRPr="00D36277" w:rsidRDefault="00D36277" w:rsidP="00D3627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pP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Interactions amongst </w:t>
      </w:r>
      <w:proofErr w:type="spellStart"/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aeolian</w:t>
      </w:r>
      <w:proofErr w:type="spellEnd"/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, fluvial and lacustrine processes in desert margins.</w:t>
      </w:r>
    </w:p>
    <w:p w:rsidR="00D36277" w:rsidRDefault="00D36277" w:rsidP="00D36277">
      <w:r w:rsidRPr="00D36277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t>Organizer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 xml:space="preserve">Professor Xiaoping Yang, Geology and Geophysics, Chinese Academy of Sciences, Beijing, China 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>Conference web site with registration information</w:t>
      </w:r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>(</w:t>
      </w:r>
      <w:hyperlink r:id="rId7" w:tooltip="" w:history="1">
        <w:r w:rsidRPr="00D3627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n-AU"/>
          </w:rPr>
          <w:t>http://www.iggcas.ac.cn/iw07/index.htm</w:t>
        </w:r>
      </w:hyperlink>
      <w:r w:rsidRPr="00D36277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)</w:t>
      </w:r>
      <w:bookmarkStart w:id="0" w:name="_GoBack"/>
      <w:bookmarkEnd w:id="0"/>
    </w:p>
    <w:sectPr w:rsidR="00D36277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86700"/>
    <w:multiLevelType w:val="multilevel"/>
    <w:tmpl w:val="7E1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77"/>
    <w:rsid w:val="00375ED3"/>
    <w:rsid w:val="004C2AFF"/>
    <w:rsid w:val="00D3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2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627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627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2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627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6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land.org/uploads/2/3/9/6/23963363/comland-07-preconfrpt.html" TargetMode="External"/><Relationship Id="rId7" Type="http://schemas.openxmlformats.org/officeDocument/2006/relationships/hyperlink" Target="http://www.iggcas.ac.cn/iw07/index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2015-02-09T02:32:00Z</dcterms:created>
  <dcterms:modified xsi:type="dcterms:W3CDTF">2015-02-09T02:33:00Z</dcterms:modified>
</cp:coreProperties>
</file>